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1" w:rsidRPr="00456E64" w:rsidRDefault="003D2201" w:rsidP="003D2201">
      <w:pPr>
        <w:pStyle w:val="Kop1"/>
        <w:rPr>
          <w:rFonts w:ascii="Calibri" w:hAnsi="Calibri"/>
        </w:rPr>
      </w:pPr>
      <w:r>
        <w:rPr>
          <w:rFonts w:ascii="Calibri" w:hAnsi="Calibri"/>
        </w:rPr>
        <w:t xml:space="preserve">Omgaan met situaties, </w:t>
      </w:r>
      <w:r w:rsidRPr="00456E64">
        <w:rPr>
          <w:rFonts w:ascii="Calibri" w:hAnsi="Calibri"/>
        </w:rPr>
        <w:t xml:space="preserve">Werkvorm </w:t>
      </w:r>
      <w:r>
        <w:rPr>
          <w:rFonts w:ascii="Calibri" w:hAnsi="Calibri"/>
        </w:rPr>
        <w:t>jongeren</w:t>
      </w:r>
      <w:bookmarkStart w:id="0" w:name="_GoBack"/>
      <w:bookmarkEnd w:id="0"/>
    </w:p>
    <w:p w:rsidR="00086207" w:rsidRDefault="00086207"/>
    <w:p w:rsidR="00086207" w:rsidRDefault="00086207">
      <w:r>
        <w:t xml:space="preserve">‘Zo zijn onze manieren’ en ‘zo doen we dat hier altijd’. Je kunt </w:t>
      </w:r>
      <w:r w:rsidR="00F662D5">
        <w:t xml:space="preserve">snel </w:t>
      </w:r>
      <w:r>
        <w:t xml:space="preserve">gewend raken aan </w:t>
      </w:r>
      <w:r w:rsidR="00F662D5">
        <w:t xml:space="preserve">gewoontes en manier van omgaan </w:t>
      </w:r>
      <w:r>
        <w:t xml:space="preserve">in de gemeente. </w:t>
      </w:r>
      <w:r w:rsidR="00F662D5">
        <w:t xml:space="preserve">Vaak zijn er </w:t>
      </w:r>
      <w:r>
        <w:t xml:space="preserve">ongeschreven regels en in de meeste gevallen is dat ook prima. </w:t>
      </w:r>
      <w:r w:rsidR="00F662D5">
        <w:t xml:space="preserve">Toch kunnen er ook momenten zijn waarbij </w:t>
      </w:r>
      <w:r>
        <w:t xml:space="preserve">je je afvraagt: waarom doen we dit eigenlijk zo? En: is dit wel een goede manier? Wil ik dit wel zo? </w:t>
      </w:r>
      <w:r w:rsidR="00F662D5">
        <w:t>En:</w:t>
      </w:r>
      <w:r w:rsidR="001B1B89">
        <w:t xml:space="preserve"> hoe reageer je dan?</w:t>
      </w:r>
    </w:p>
    <w:p w:rsidR="00086207" w:rsidRDefault="00086207">
      <w:r>
        <w:t>In deze werkvorm leer je nadenken over gewoontes, omgangsvormen en intimiteit.</w:t>
      </w:r>
    </w:p>
    <w:p w:rsidR="00086207" w:rsidRDefault="00086207"/>
    <w:p w:rsidR="00086207" w:rsidRPr="00086207" w:rsidRDefault="00086207">
      <w:pPr>
        <w:rPr>
          <w:b/>
        </w:rPr>
      </w:pPr>
      <w:r w:rsidRPr="00086207">
        <w:rPr>
          <w:b/>
        </w:rPr>
        <w:t>Werkvorm</w:t>
      </w:r>
    </w:p>
    <w:p w:rsidR="00343664" w:rsidRDefault="00086207">
      <w:r>
        <w:t>Groepsdiscussie</w:t>
      </w:r>
    </w:p>
    <w:p w:rsidR="00086207" w:rsidRDefault="00086207"/>
    <w:p w:rsidR="00086207" w:rsidRDefault="00086207">
      <w:pPr>
        <w:rPr>
          <w:b/>
        </w:rPr>
      </w:pPr>
      <w:r>
        <w:rPr>
          <w:b/>
        </w:rPr>
        <w:t>Doelgroep</w:t>
      </w:r>
    </w:p>
    <w:p w:rsidR="00086207" w:rsidRDefault="00086207">
      <w:r>
        <w:t>Jeugdwerkers, catecheten, jongerenwerkers</w:t>
      </w:r>
    </w:p>
    <w:p w:rsidR="00086207" w:rsidRDefault="00086207"/>
    <w:p w:rsidR="00086207" w:rsidRPr="00086207" w:rsidRDefault="00086207">
      <w:pPr>
        <w:rPr>
          <w:b/>
        </w:rPr>
      </w:pPr>
      <w:r w:rsidRPr="00086207">
        <w:rPr>
          <w:b/>
        </w:rPr>
        <w:t>Tijdsduur</w:t>
      </w:r>
    </w:p>
    <w:p w:rsidR="00343664" w:rsidRDefault="00086207">
      <w:r>
        <w:t>Ongeveer 60 minuten</w:t>
      </w:r>
    </w:p>
    <w:p w:rsidR="00086207" w:rsidRDefault="00086207"/>
    <w:p w:rsidR="00086207" w:rsidRPr="00086207" w:rsidRDefault="00086207">
      <w:pPr>
        <w:rPr>
          <w:b/>
        </w:rPr>
      </w:pPr>
      <w:r w:rsidRPr="00086207">
        <w:rPr>
          <w:b/>
        </w:rPr>
        <w:t>Wat heb je nodig</w:t>
      </w:r>
    </w:p>
    <w:p w:rsidR="00DB3DDD" w:rsidRDefault="00DB3DDD">
      <w:r>
        <w:t>Uitgeprinte (of op de mobiel gedownloade)situatieschetsen</w:t>
      </w:r>
      <w:r w:rsidR="008156DD">
        <w:t>, p</w:t>
      </w:r>
      <w:r>
        <w:t>ennen</w:t>
      </w:r>
    </w:p>
    <w:p w:rsidR="00DB3DDD" w:rsidRDefault="00DB3DDD"/>
    <w:p w:rsidR="00DB3DDD" w:rsidRDefault="00DB3DDD">
      <w:pPr>
        <w:rPr>
          <w:b/>
        </w:rPr>
      </w:pPr>
      <w:r w:rsidRPr="00DB3DDD">
        <w:rPr>
          <w:b/>
        </w:rPr>
        <w:t>Werkwijze</w:t>
      </w:r>
      <w:r w:rsidR="00C52011">
        <w:rPr>
          <w:b/>
        </w:rPr>
        <w:t xml:space="preserve"> groepjes (15 minuten)</w:t>
      </w:r>
    </w:p>
    <w:p w:rsidR="00DB3DDD" w:rsidRDefault="00DB3DDD">
      <w:r>
        <w:t>Vorm  kleine groepen van maximaal drie tot vijf personen.</w:t>
      </w:r>
      <w:r w:rsidR="007275BD">
        <w:t xml:space="preserve"> </w:t>
      </w:r>
      <w:r>
        <w:t>Deel de situatieschetsen uit.</w:t>
      </w:r>
    </w:p>
    <w:p w:rsidR="00DB3DDD" w:rsidRDefault="00DB3DDD">
      <w:r>
        <w:t>Laat iedereen in het lege vak achter de situatieschets een korte  reactie schrijven.</w:t>
      </w:r>
    </w:p>
    <w:p w:rsidR="00DB3DDD" w:rsidRDefault="00DB3DDD">
      <w:r>
        <w:t>Bespreek in het groepje het volgende:</w:t>
      </w:r>
    </w:p>
    <w:p w:rsidR="00DB3DDD" w:rsidRDefault="00DB3DDD" w:rsidP="00DB3DDD">
      <w:pPr>
        <w:pStyle w:val="Lijstalinea"/>
        <w:numPr>
          <w:ilvl w:val="0"/>
          <w:numId w:val="2"/>
        </w:numPr>
      </w:pPr>
      <w:r>
        <w:t>Welke situatie vond je het lastigst?</w:t>
      </w:r>
    </w:p>
    <w:p w:rsidR="00DB3DDD" w:rsidRDefault="00DB3DDD" w:rsidP="00DB3DDD">
      <w:pPr>
        <w:pStyle w:val="Lijstalinea"/>
        <w:numPr>
          <w:ilvl w:val="0"/>
          <w:numId w:val="2"/>
        </w:numPr>
      </w:pPr>
      <w:r>
        <w:t>Welke situaties herken je het meest bij je werk met de jongeren?</w:t>
      </w:r>
    </w:p>
    <w:p w:rsidR="00DB3DDD" w:rsidRDefault="00DB3DDD" w:rsidP="00DB3DDD">
      <w:pPr>
        <w:pStyle w:val="Lijstalinea"/>
        <w:numPr>
          <w:ilvl w:val="0"/>
          <w:numId w:val="2"/>
        </w:numPr>
      </w:pPr>
      <w:r>
        <w:t>Heb je zelf een voorbeeldsituatie uit de praktijk die je in wilt brengen?</w:t>
      </w:r>
    </w:p>
    <w:p w:rsidR="00DB3DDD" w:rsidRDefault="00DB3DDD" w:rsidP="00DB3DDD"/>
    <w:p w:rsidR="00DB3DDD" w:rsidRDefault="00DB3DDD" w:rsidP="00DB3DDD">
      <w:pPr>
        <w:rPr>
          <w:b/>
        </w:rPr>
      </w:pPr>
      <w:r w:rsidRPr="00DB3DDD">
        <w:rPr>
          <w:b/>
        </w:rPr>
        <w:t>Plenaire bespreking</w:t>
      </w:r>
      <w:r w:rsidR="007275BD">
        <w:rPr>
          <w:b/>
        </w:rPr>
        <w:t xml:space="preserve"> (30 minuten)</w:t>
      </w:r>
    </w:p>
    <w:p w:rsidR="00DB3DDD" w:rsidRDefault="001B1B89" w:rsidP="00DB3DDD">
      <w:r>
        <w:t>Laat elk groepje een terugkoppeling geven in de plenaire bespreking. Mogelijke vragen hierbij:</w:t>
      </w:r>
    </w:p>
    <w:p w:rsidR="001B1B89" w:rsidRDefault="001B1B89" w:rsidP="001B1B89">
      <w:pPr>
        <w:pStyle w:val="Lijstalinea"/>
        <w:numPr>
          <w:ilvl w:val="0"/>
          <w:numId w:val="3"/>
        </w:numPr>
      </w:pPr>
      <w:r>
        <w:t>Zijn de situatieschetsen herkenbaar?</w:t>
      </w:r>
    </w:p>
    <w:p w:rsidR="001B1B89" w:rsidRDefault="001B1B89" w:rsidP="001B1B89">
      <w:pPr>
        <w:pStyle w:val="Lijstalinea"/>
        <w:numPr>
          <w:ilvl w:val="0"/>
          <w:numId w:val="3"/>
        </w:numPr>
      </w:pPr>
      <w:r>
        <w:t>Wat waren de eerste reacties op de situatieschetsen in jouw groepje?</w:t>
      </w:r>
    </w:p>
    <w:p w:rsidR="001B1B89" w:rsidRDefault="001B1B89" w:rsidP="001B1B89">
      <w:pPr>
        <w:pStyle w:val="Lijstalinea"/>
        <w:numPr>
          <w:ilvl w:val="0"/>
          <w:numId w:val="3"/>
        </w:numPr>
      </w:pPr>
      <w:r>
        <w:t>Hoe zou je zelf reageren op zo’n situatie?</w:t>
      </w:r>
    </w:p>
    <w:p w:rsidR="001B1B89" w:rsidRDefault="001B1B89" w:rsidP="001B1B89">
      <w:pPr>
        <w:pStyle w:val="Lijstalinea"/>
        <w:numPr>
          <w:ilvl w:val="0"/>
          <w:numId w:val="3"/>
        </w:numPr>
      </w:pPr>
      <w:r>
        <w:t>Zijn er meerdere reacties mogelijk en heb je daar voorbeelden bij?</w:t>
      </w:r>
    </w:p>
    <w:p w:rsidR="001B1B89" w:rsidRDefault="001B1B89" w:rsidP="001B1B89">
      <w:pPr>
        <w:pStyle w:val="Lijstalinea"/>
        <w:numPr>
          <w:ilvl w:val="0"/>
          <w:numId w:val="3"/>
        </w:numPr>
      </w:pPr>
      <w:r>
        <w:t>Maakt het nog uit of het een jongen of een meisje is?</w:t>
      </w:r>
    </w:p>
    <w:p w:rsidR="001B1B89" w:rsidRDefault="001B1B89" w:rsidP="001B1B89">
      <w:pPr>
        <w:pStyle w:val="Lijstalinea"/>
        <w:numPr>
          <w:ilvl w:val="0"/>
          <w:numId w:val="3"/>
        </w:numPr>
      </w:pPr>
      <w:r>
        <w:t>Maakt het nog uit of je diegene die over de grens gaat goed kent?</w:t>
      </w:r>
    </w:p>
    <w:p w:rsidR="007275BD" w:rsidRDefault="007275BD" w:rsidP="001B1B89">
      <w:pPr>
        <w:pStyle w:val="Lijstalinea"/>
        <w:numPr>
          <w:ilvl w:val="0"/>
          <w:numId w:val="3"/>
        </w:numPr>
      </w:pPr>
      <w:r>
        <w:t xml:space="preserve">Wat zou er kunnen gebeuren als je er iets van zegt? </w:t>
      </w:r>
    </w:p>
    <w:p w:rsidR="007275BD" w:rsidRDefault="007275BD" w:rsidP="001B1B89">
      <w:pPr>
        <w:pStyle w:val="Lijstalinea"/>
        <w:numPr>
          <w:ilvl w:val="0"/>
          <w:numId w:val="3"/>
        </w:numPr>
      </w:pPr>
      <w:r>
        <w:t>Wat zou er kunnen gebeuren als je er niets van zegt?</w:t>
      </w:r>
    </w:p>
    <w:p w:rsidR="007275BD" w:rsidRDefault="007275BD" w:rsidP="001B1B89">
      <w:pPr>
        <w:pStyle w:val="Lijstalinea"/>
        <w:numPr>
          <w:ilvl w:val="0"/>
          <w:numId w:val="3"/>
        </w:numPr>
      </w:pPr>
      <w:r>
        <w:t>Wat verwacht je van anderen als dit met jou zou gebeuren?</w:t>
      </w:r>
    </w:p>
    <w:p w:rsidR="007275BD" w:rsidRDefault="007275BD" w:rsidP="001B1B89">
      <w:pPr>
        <w:pStyle w:val="Lijstalinea"/>
        <w:numPr>
          <w:ilvl w:val="0"/>
          <w:numId w:val="3"/>
        </w:numPr>
      </w:pPr>
      <w:r>
        <w:t>Zou jij makkelijk een collega jeugdleider aanspreken?</w:t>
      </w:r>
    </w:p>
    <w:p w:rsidR="007275BD" w:rsidRDefault="007275BD" w:rsidP="001B1B89">
      <w:pPr>
        <w:pStyle w:val="Lijstalinea"/>
        <w:numPr>
          <w:ilvl w:val="0"/>
          <w:numId w:val="3"/>
        </w:numPr>
      </w:pPr>
      <w:r>
        <w:t>Welke situatie vind je het lastigst om met je collega bespreekbaar te maken?</w:t>
      </w:r>
    </w:p>
    <w:p w:rsidR="007275BD" w:rsidRDefault="007275BD" w:rsidP="001B1B89">
      <w:pPr>
        <w:pStyle w:val="Lijstalinea"/>
        <w:numPr>
          <w:ilvl w:val="0"/>
          <w:numId w:val="3"/>
        </w:numPr>
      </w:pPr>
      <w:r>
        <w:t>Welke situatie vind je lastig bespreekbaar met de predikant</w:t>
      </w:r>
      <w:r w:rsidR="00F662D5">
        <w:t xml:space="preserve"> / voorganger </w:t>
      </w:r>
      <w:r>
        <w:t>of kerkelijk werker?</w:t>
      </w:r>
    </w:p>
    <w:p w:rsidR="007275BD" w:rsidRDefault="007275BD" w:rsidP="007275BD"/>
    <w:p w:rsidR="007275BD" w:rsidRDefault="007275BD" w:rsidP="007275BD">
      <w:pPr>
        <w:rPr>
          <w:b/>
        </w:rPr>
      </w:pPr>
      <w:r w:rsidRPr="007275BD">
        <w:rPr>
          <w:b/>
        </w:rPr>
        <w:t>Afronding</w:t>
      </w:r>
      <w:r>
        <w:rPr>
          <w:b/>
        </w:rPr>
        <w:t xml:space="preserve"> (15 minuten)</w:t>
      </w:r>
    </w:p>
    <w:p w:rsidR="007275BD" w:rsidRDefault="007275BD" w:rsidP="007275BD">
      <w:pPr>
        <w:pStyle w:val="Lijstalinea"/>
        <w:numPr>
          <w:ilvl w:val="0"/>
          <w:numId w:val="4"/>
        </w:numPr>
      </w:pPr>
      <w:r>
        <w:t>Hoe was het om deze situaties te bespreken?</w:t>
      </w:r>
    </w:p>
    <w:p w:rsidR="00F662D5" w:rsidRDefault="007275BD" w:rsidP="007275BD">
      <w:pPr>
        <w:pStyle w:val="Lijstalinea"/>
        <w:numPr>
          <w:ilvl w:val="0"/>
          <w:numId w:val="4"/>
        </w:numPr>
      </w:pPr>
      <w:r>
        <w:t>Vervolgstappen: wat doen we met de uitkomsten, vervolgacties, afspraken?</w:t>
      </w:r>
    </w:p>
    <w:p w:rsidR="008156DD" w:rsidRDefault="008156DD" w:rsidP="00F662D5">
      <w:pPr>
        <w:rPr>
          <w:b/>
        </w:rPr>
      </w:pPr>
    </w:p>
    <w:p w:rsidR="008156DD" w:rsidRDefault="008156DD" w:rsidP="00F662D5">
      <w:pPr>
        <w:rPr>
          <w:b/>
        </w:rPr>
      </w:pPr>
    </w:p>
    <w:p w:rsidR="00A070A2" w:rsidRDefault="00A070A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75BD" w:rsidRDefault="00F662D5" w:rsidP="00F662D5">
      <w:pPr>
        <w:rPr>
          <w:b/>
        </w:rPr>
      </w:pPr>
      <w:r w:rsidRPr="00F662D5">
        <w:rPr>
          <w:b/>
        </w:rPr>
        <w:lastRenderedPageBreak/>
        <w:t>Situatieschetsen uit het jeugd en jongerenwerk</w:t>
      </w:r>
    </w:p>
    <w:p w:rsidR="00F662D5" w:rsidRDefault="00F662D5" w:rsidP="00F662D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F662D5" w:rsidTr="00F91AC9">
        <w:tc>
          <w:tcPr>
            <w:tcW w:w="5353" w:type="dxa"/>
            <w:shd w:val="clear" w:color="auto" w:fill="D9D9D9" w:themeFill="background1" w:themeFillShade="D9"/>
          </w:tcPr>
          <w:p w:rsidR="00F662D5" w:rsidRDefault="00F662D5" w:rsidP="00F662D5">
            <w:pPr>
              <w:rPr>
                <w:b/>
              </w:rPr>
            </w:pPr>
            <w:r>
              <w:rPr>
                <w:b/>
              </w:rPr>
              <w:t>Situatie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F662D5" w:rsidRDefault="00F662D5" w:rsidP="00F662D5">
            <w:pPr>
              <w:rPr>
                <w:b/>
              </w:rPr>
            </w:pPr>
            <w:r>
              <w:rPr>
                <w:b/>
              </w:rPr>
              <w:t>Jouw reactie</w:t>
            </w: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F91AC9" w:rsidP="00C52011">
            <w:pPr>
              <w:spacing w:line="276" w:lineRule="auto"/>
            </w:pPr>
            <w:r w:rsidRPr="00F91AC9">
              <w:t xml:space="preserve">Een jeugdleider </w:t>
            </w:r>
            <w:r>
              <w:t>haalt regelmatig zijn hand door het haar van een jongere en zegt: Ha lieve krullenbol!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F91AC9" w:rsidP="00C52011">
            <w:pPr>
              <w:spacing w:line="276" w:lineRule="auto"/>
            </w:pPr>
            <w:r>
              <w:t>Een aantal catecheten praat regelmatig over jongeren waar andere jongeren bij zijn.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B4786F" w:rsidP="008156DD">
            <w:pPr>
              <w:spacing w:line="276" w:lineRule="auto"/>
            </w:pPr>
            <w:r>
              <w:t xml:space="preserve">Een jeugdwerker heeft zorgen </w:t>
            </w:r>
            <w:r w:rsidR="008156DD">
              <w:t>over</w:t>
            </w:r>
            <w:r>
              <w:t xml:space="preserve"> een jongere uit een eenouder gezin. Hij bezoekt de moeder </w:t>
            </w:r>
            <w:r w:rsidR="008156DD">
              <w:t>regelmatig</w:t>
            </w:r>
            <w:r>
              <w:t xml:space="preserve"> en onderneemt samen met haar en het kind allerlei activiteiten.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B4786F" w:rsidP="00C52011">
            <w:pPr>
              <w:spacing w:line="276" w:lineRule="auto"/>
            </w:pPr>
            <w:r>
              <w:t>Een jeugdleider neemt een kind in huis dat thuis veel problemen heeft.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326D3C" w:rsidP="00C52011">
            <w:pPr>
              <w:spacing w:line="276" w:lineRule="auto"/>
            </w:pPr>
            <w:r>
              <w:t>De deur van het kerkzaaltje staat open en je ziet dat een jeugdleider het mobieltje dat één van de jongeren heeft laten liggen, checkt.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975114" w:rsidP="00C52011">
            <w:pPr>
              <w:spacing w:line="276" w:lineRule="auto"/>
            </w:pPr>
            <w:r>
              <w:t>Je ziet dat Walter zijn clubgenootje Marije lastigvalt.  Hij probeert haar tegen haar zin vast te houden. Marije roept dat hij moet ophouden. Je collega jeugdleider reageert: ‘Ach joh, Marije, stel je niet zo aan. Walter bedoelt het goed.’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975114" w:rsidP="00C52011">
            <w:pPr>
              <w:spacing w:line="276" w:lineRule="auto"/>
            </w:pPr>
            <w:r>
              <w:t>Twee jongens uit de groep kunnen het goed met elkaar vinden. Andere jongens uit de groep noemen ze ineens: ‘de homo’s’.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975114" w:rsidP="00C52011">
            <w:pPr>
              <w:spacing w:line="276" w:lineRule="auto"/>
            </w:pPr>
            <w:r>
              <w:t>Bij de verjaardag van één van de jongeren van de club zegt je collega jeugdleider: ‘Natuurlijk geef ik jou ook een kus. Bij een verjaardag hoort een zoen.’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975114" w:rsidP="00C52011">
            <w:pPr>
              <w:spacing w:line="276" w:lineRule="auto"/>
            </w:pPr>
            <w:r>
              <w:t>De relatie tussen twee jongeren van de club is uit. Nu wacht de jongen steeds het meisje op en volgt haar.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975114" w:rsidP="00C52011">
            <w:pPr>
              <w:spacing w:line="276" w:lineRule="auto"/>
            </w:pPr>
            <w:r>
              <w:t>Tijdens het jeugdkamp wordt een dropping georganiseerd. Je ziet één van de jeugdleiders gearmd met twee meisjes lopen.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975114" w:rsidP="00C52011">
            <w:pPr>
              <w:spacing w:line="276" w:lineRule="auto"/>
            </w:pPr>
            <w:r>
              <w:t xml:space="preserve">Een vader die als begeleider meegaat met het kamp zegt tegen de kinderen: ‘Ik ben bang in het donker, ik slaap </w:t>
            </w:r>
            <w:r w:rsidR="00C52011">
              <w:t xml:space="preserve">vannacht </w:t>
            </w:r>
            <w:r>
              <w:t>bij de vrouwen.’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264E0A" w:rsidP="00C52011">
            <w:pPr>
              <w:spacing w:line="276" w:lineRule="auto"/>
            </w:pPr>
            <w:r>
              <w:t>Tijdens het kamp vraagt jeugdleidster Els aan haar collega Kees: ‘Met wie zou jij op een onbewoond eiland willen zitten?’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C52011" w:rsidP="00C52011">
            <w:pPr>
              <w:spacing w:line="276" w:lineRule="auto"/>
            </w:pPr>
            <w:r>
              <w:t>Een vader die als begeleider meegaat tijdens het uitje van de jeugdclub naar het zwembad zegt tegen jeugdleider Janneke: ‘Jou gooi ik zo het water in.’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F662D5" w:rsidRPr="00F91AC9" w:rsidTr="00F662D5">
        <w:tc>
          <w:tcPr>
            <w:tcW w:w="5353" w:type="dxa"/>
          </w:tcPr>
          <w:p w:rsidR="00F662D5" w:rsidRPr="00F91AC9" w:rsidRDefault="00C52011" w:rsidP="00C52011">
            <w:pPr>
              <w:spacing w:line="276" w:lineRule="auto"/>
            </w:pPr>
            <w:r>
              <w:t>Tijdens het kamp vraagt de jeugdleider aan een jongere: wie van de meisjes ga jij dit weekeind versieren?</w:t>
            </w:r>
          </w:p>
        </w:tc>
        <w:tc>
          <w:tcPr>
            <w:tcW w:w="3857" w:type="dxa"/>
          </w:tcPr>
          <w:p w:rsidR="00F662D5" w:rsidRPr="00F91AC9" w:rsidRDefault="00F662D5" w:rsidP="00C52011">
            <w:pPr>
              <w:spacing w:line="276" w:lineRule="auto"/>
            </w:pPr>
          </w:p>
        </w:tc>
      </w:tr>
      <w:tr w:rsidR="008156DD" w:rsidRPr="00F91AC9" w:rsidTr="00F662D5">
        <w:tc>
          <w:tcPr>
            <w:tcW w:w="5353" w:type="dxa"/>
          </w:tcPr>
          <w:p w:rsidR="008156DD" w:rsidRDefault="008156DD" w:rsidP="00C52011">
            <w:pPr>
              <w:spacing w:line="276" w:lineRule="auto"/>
            </w:pPr>
            <w:r>
              <w:t>Na het uitje brengt de jeugdleider een jongere naar huis.</w:t>
            </w:r>
          </w:p>
        </w:tc>
        <w:tc>
          <w:tcPr>
            <w:tcW w:w="3857" w:type="dxa"/>
          </w:tcPr>
          <w:p w:rsidR="008156DD" w:rsidRPr="00F91AC9" w:rsidRDefault="008156DD" w:rsidP="00C52011">
            <w:pPr>
              <w:spacing w:line="276" w:lineRule="auto"/>
            </w:pPr>
          </w:p>
        </w:tc>
      </w:tr>
    </w:tbl>
    <w:p w:rsidR="00F662D5" w:rsidRPr="00F662D5" w:rsidRDefault="00F662D5" w:rsidP="008156DD">
      <w:pPr>
        <w:rPr>
          <w:b/>
        </w:rPr>
      </w:pPr>
    </w:p>
    <w:sectPr w:rsidR="00F662D5" w:rsidRPr="00F662D5" w:rsidSect="008156DD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DD" w:rsidRDefault="008156DD" w:rsidP="00086207">
      <w:r>
        <w:separator/>
      </w:r>
    </w:p>
  </w:endnote>
  <w:endnote w:type="continuationSeparator" w:id="0">
    <w:p w:rsidR="008156DD" w:rsidRDefault="008156DD" w:rsidP="000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DD" w:rsidRDefault="000D7C98" w:rsidP="008156D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E72F1CB" wp14:editId="0AB2D031">
          <wp:simplePos x="0" y="0"/>
          <wp:positionH relativeFrom="column">
            <wp:posOffset>-533400</wp:posOffset>
          </wp:positionH>
          <wp:positionV relativeFrom="paragraph">
            <wp:posOffset>-28575</wp:posOffset>
          </wp:positionV>
          <wp:extent cx="1752600" cy="552450"/>
          <wp:effectExtent l="0" t="0" r="0" b="0"/>
          <wp:wrapSquare wrapText="bothSides"/>
          <wp:docPr id="2" name="Afbeelding 2" descr="Beschrijving: logoHetMeldp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chrijving: logoHetMeldpu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6DD" w:rsidRDefault="008156DD" w:rsidP="000D7C98">
    <w:pPr>
      <w:pStyle w:val="Voettekst"/>
      <w:jc w:val="right"/>
    </w:pPr>
    <w:r>
      <w:tab/>
    </w:r>
    <w:r w:rsidR="000D7C98">
      <w:t>Bijlage bij Stap 1, Stappenplan Een veilige kerk</w:t>
    </w:r>
  </w:p>
  <w:p w:rsidR="008156DD" w:rsidRPr="00086207" w:rsidRDefault="008156DD" w:rsidP="00086207">
    <w:pPr>
      <w:pStyle w:val="Voettekst"/>
      <w:jc w:val="center"/>
      <w:rPr>
        <w:rFonts w:cs="Times New Roman"/>
        <w:color w:val="A6A6A6" w:themeColor="background1" w:themeShade="A6"/>
        <w:sz w:val="21"/>
        <w:szCs w:val="21"/>
        <w:lang w:eastAsia="nl-NL"/>
      </w:rPr>
    </w:pPr>
    <w:r>
      <w:rPr>
        <w:rFonts w:cs="Times New Roman"/>
        <w:color w:val="A6A6A6" w:themeColor="background1" w:themeShade="A6"/>
        <w:sz w:val="21"/>
        <w:szCs w:val="21"/>
        <w:lang w:eastAsia="nl-NL"/>
      </w:rPr>
      <w:tab/>
    </w:r>
    <w:r>
      <w:rPr>
        <w:rFonts w:cs="Times New Roman"/>
        <w:color w:val="A6A6A6" w:themeColor="background1" w:themeShade="A6"/>
        <w:sz w:val="21"/>
        <w:szCs w:val="21"/>
        <w:lang w:eastAsia="nl-NL"/>
      </w:rPr>
      <w:tab/>
    </w:r>
    <w:r w:rsidRPr="00086207">
      <w:rPr>
        <w:rFonts w:cs="Times New Roman"/>
        <w:color w:val="A6A6A6" w:themeColor="background1" w:themeShade="A6"/>
        <w:sz w:val="21"/>
        <w:szCs w:val="21"/>
        <w:lang w:eastAsia="nl-NL"/>
      </w:rPr>
      <w:t>Bron:</w:t>
    </w:r>
    <w:r>
      <w:rPr>
        <w:rFonts w:cs="Times New Roman"/>
        <w:color w:val="A6A6A6" w:themeColor="background1" w:themeShade="A6"/>
        <w:sz w:val="21"/>
        <w:szCs w:val="21"/>
        <w:lang w:eastAsia="nl-NL"/>
      </w:rPr>
      <w:t xml:space="preserve"> </w:t>
    </w:r>
    <w:r w:rsidRPr="00086207">
      <w:rPr>
        <w:rFonts w:cs="Times New Roman"/>
        <w:color w:val="A6A6A6" w:themeColor="background1" w:themeShade="A6"/>
        <w:sz w:val="21"/>
        <w:szCs w:val="21"/>
        <w:lang w:eastAsia="nl-NL"/>
      </w:rPr>
      <w:t>Toolkit in veilige handen</w:t>
    </w:r>
  </w:p>
  <w:p w:rsidR="008156DD" w:rsidRDefault="008156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DD" w:rsidRDefault="008156DD" w:rsidP="00086207">
      <w:r>
        <w:separator/>
      </w:r>
    </w:p>
  </w:footnote>
  <w:footnote w:type="continuationSeparator" w:id="0">
    <w:p w:rsidR="008156DD" w:rsidRDefault="008156DD" w:rsidP="0008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5AE"/>
    <w:multiLevelType w:val="hybridMultilevel"/>
    <w:tmpl w:val="B7FEF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FA1"/>
    <w:multiLevelType w:val="hybridMultilevel"/>
    <w:tmpl w:val="10D4F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B9C"/>
    <w:multiLevelType w:val="hybridMultilevel"/>
    <w:tmpl w:val="C4A22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12CE"/>
    <w:multiLevelType w:val="hybridMultilevel"/>
    <w:tmpl w:val="3F448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64"/>
    <w:rsid w:val="00086207"/>
    <w:rsid w:val="000D7C98"/>
    <w:rsid w:val="00101240"/>
    <w:rsid w:val="001B1B89"/>
    <w:rsid w:val="001B73B3"/>
    <w:rsid w:val="0026274B"/>
    <w:rsid w:val="00264E0A"/>
    <w:rsid w:val="00326D3C"/>
    <w:rsid w:val="00343664"/>
    <w:rsid w:val="003D2201"/>
    <w:rsid w:val="00595123"/>
    <w:rsid w:val="005D5817"/>
    <w:rsid w:val="00644881"/>
    <w:rsid w:val="007275BD"/>
    <w:rsid w:val="008156DD"/>
    <w:rsid w:val="00975114"/>
    <w:rsid w:val="00A070A2"/>
    <w:rsid w:val="00A73737"/>
    <w:rsid w:val="00B4786F"/>
    <w:rsid w:val="00B82F75"/>
    <w:rsid w:val="00C52011"/>
    <w:rsid w:val="00DB3DDD"/>
    <w:rsid w:val="00DF1A66"/>
    <w:rsid w:val="00F20DB9"/>
    <w:rsid w:val="00F662D5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F7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15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62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6207"/>
  </w:style>
  <w:style w:type="paragraph" w:styleId="Voettekst">
    <w:name w:val="footer"/>
    <w:basedOn w:val="Standaard"/>
    <w:link w:val="VoettekstChar"/>
    <w:uiPriority w:val="99"/>
    <w:unhideWhenUsed/>
    <w:rsid w:val="000862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0862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3DDD"/>
    <w:pPr>
      <w:ind w:left="720"/>
      <w:contextualSpacing/>
    </w:pPr>
  </w:style>
  <w:style w:type="table" w:styleId="Tabelraster">
    <w:name w:val="Table Grid"/>
    <w:basedOn w:val="Standaardtabel"/>
    <w:uiPriority w:val="59"/>
    <w:rsid w:val="00F6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81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F7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15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62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6207"/>
  </w:style>
  <w:style w:type="paragraph" w:styleId="Voettekst">
    <w:name w:val="footer"/>
    <w:basedOn w:val="Standaard"/>
    <w:link w:val="VoettekstChar"/>
    <w:uiPriority w:val="99"/>
    <w:unhideWhenUsed/>
    <w:rsid w:val="000862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0862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3DDD"/>
    <w:pPr>
      <w:ind w:left="720"/>
      <w:contextualSpacing/>
    </w:pPr>
  </w:style>
  <w:style w:type="table" w:styleId="Tabelraster">
    <w:name w:val="Table Grid"/>
    <w:basedOn w:val="Standaardtabel"/>
    <w:uiPriority w:val="59"/>
    <w:rsid w:val="00F6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81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Lelie Zorggroep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van Dongen</dc:creator>
  <cp:lastModifiedBy>Ineke van Dongen</cp:lastModifiedBy>
  <cp:revision>3</cp:revision>
  <dcterms:created xsi:type="dcterms:W3CDTF">2018-11-21T13:17:00Z</dcterms:created>
  <dcterms:modified xsi:type="dcterms:W3CDTF">2018-11-21T13:22:00Z</dcterms:modified>
</cp:coreProperties>
</file>